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0BF" w:rsidRPr="00BC4623" w:rsidRDefault="00BC4623" w:rsidP="00BC4623">
      <w:pPr>
        <w:ind w:left="-567" w:right="-850"/>
        <w:rPr>
          <w:b/>
          <w:bCs/>
        </w:rPr>
      </w:pPr>
      <w:r w:rsidRPr="00BC4623">
        <w:rPr>
          <w:b/>
          <w:bCs/>
        </w:rPr>
        <w:t xml:space="preserve">ZMČ Praha-Újezd dne 20. 11. </w:t>
      </w:r>
      <w:proofErr w:type="gramStart"/>
      <w:r w:rsidRPr="00BC4623">
        <w:rPr>
          <w:b/>
          <w:bCs/>
        </w:rPr>
        <w:t xml:space="preserve">2019                                                  </w:t>
      </w:r>
      <w:r w:rsidR="00A230BF" w:rsidRPr="00BC4623">
        <w:rPr>
          <w:b/>
          <w:bCs/>
        </w:rPr>
        <w:t>PŘÍLOHA</w:t>
      </w:r>
      <w:proofErr w:type="gramEnd"/>
      <w:r w:rsidR="00A230BF" w:rsidRPr="00BC4623">
        <w:rPr>
          <w:b/>
          <w:bCs/>
        </w:rPr>
        <w:t xml:space="preserve"> č. 2</w:t>
      </w:r>
      <w:r w:rsidRPr="00BC4623">
        <w:rPr>
          <w:b/>
          <w:bCs/>
        </w:rPr>
        <w:t xml:space="preserve"> Zápisu ze zasedání ZMČ č. 13/2019</w:t>
      </w:r>
    </w:p>
    <w:p w:rsidR="00C24FD3" w:rsidRDefault="00C24FD3" w:rsidP="001D17FA">
      <w:pPr>
        <w:rPr>
          <w:b/>
          <w:bCs/>
          <w:color w:val="FF0000"/>
          <w:u w:val="single"/>
        </w:rPr>
      </w:pPr>
    </w:p>
    <w:p w:rsidR="001D17FA" w:rsidRPr="001D17FA" w:rsidRDefault="001D17FA" w:rsidP="001D17FA">
      <w:pPr>
        <w:rPr>
          <w:b/>
          <w:bCs/>
          <w:color w:val="FF0000"/>
          <w:u w:val="single"/>
        </w:rPr>
      </w:pPr>
      <w:r w:rsidRPr="001D17FA">
        <w:rPr>
          <w:b/>
          <w:bCs/>
          <w:color w:val="FF0000"/>
          <w:u w:val="single"/>
        </w:rPr>
        <w:t>POŽADAVKY NA PŘEDÁNÍ DĚTSKÉHO HŘIŠTĚ:</w:t>
      </w:r>
    </w:p>
    <w:p w:rsidR="00877BD1" w:rsidRPr="00AD3314" w:rsidRDefault="00A41A37" w:rsidP="00A230BF">
      <w:pPr>
        <w:shd w:val="clear" w:color="auto" w:fill="FFFFFF"/>
        <w:spacing w:before="300" w:after="300"/>
        <w:jc w:val="both"/>
        <w:outlineLvl w:val="2"/>
        <w:rPr>
          <w:rFonts w:eastAsia="Times New Roman" w:cs="Segoe UI"/>
          <w:b/>
          <w:bCs/>
          <w:sz w:val="24"/>
          <w:szCs w:val="24"/>
          <w:u w:val="single"/>
          <w:lang w:eastAsia="cs-CZ"/>
        </w:rPr>
      </w:pPr>
      <w:r w:rsidRPr="00AD3314">
        <w:rPr>
          <w:b/>
          <w:bCs/>
          <w:sz w:val="10"/>
          <w:szCs w:val="10"/>
          <w:u w:val="single"/>
        </w:rPr>
        <w:t xml:space="preserve"> </w:t>
      </w:r>
      <w:r w:rsidR="00877BD1" w:rsidRPr="00AD3314">
        <w:rPr>
          <w:rFonts w:eastAsia="Times New Roman" w:cs="Segoe UI"/>
          <w:b/>
          <w:bCs/>
          <w:sz w:val="24"/>
          <w:szCs w:val="24"/>
          <w:u w:val="single"/>
          <w:lang w:eastAsia="cs-CZ"/>
        </w:rPr>
        <w:t>Legislativa</w:t>
      </w:r>
      <w:bookmarkStart w:id="0" w:name="_GoBack"/>
      <w:bookmarkEnd w:id="0"/>
    </w:p>
    <w:p w:rsidR="00877BD1" w:rsidRPr="00D523D4" w:rsidRDefault="00877BD1" w:rsidP="00A230BF">
      <w:pPr>
        <w:shd w:val="clear" w:color="auto" w:fill="FFFFFF"/>
        <w:spacing w:after="0" w:line="240" w:lineRule="auto"/>
        <w:jc w:val="both"/>
        <w:rPr>
          <w:rFonts w:eastAsia="Times New Roman" w:cs="Times New Roman"/>
          <w:sz w:val="24"/>
          <w:szCs w:val="24"/>
          <w:lang w:eastAsia="cs-CZ"/>
        </w:rPr>
      </w:pPr>
      <w:r w:rsidRPr="00D523D4">
        <w:rPr>
          <w:rFonts w:eastAsia="Times New Roman" w:cs="Times New Roman"/>
          <w:sz w:val="21"/>
          <w:szCs w:val="21"/>
          <w:lang w:eastAsia="cs-CZ"/>
        </w:rPr>
        <w:t xml:space="preserve">Zákon </w:t>
      </w:r>
      <w:hyperlink r:id="rId6" w:history="1">
        <w:r w:rsidRPr="00D523D4">
          <w:rPr>
            <w:rFonts w:eastAsia="Times New Roman" w:cs="Times New Roman"/>
            <w:sz w:val="21"/>
            <w:szCs w:val="21"/>
            <w:lang w:eastAsia="cs-CZ"/>
          </w:rPr>
          <w:t>č. 22/1997 Sb.</w:t>
        </w:r>
      </w:hyperlink>
      <w:r w:rsidRPr="00D523D4">
        <w:rPr>
          <w:rFonts w:eastAsia="Times New Roman" w:cs="Times New Roman"/>
          <w:sz w:val="21"/>
          <w:szCs w:val="21"/>
          <w:lang w:eastAsia="cs-CZ"/>
        </w:rPr>
        <w:t>, o technických požadavcích na výrobky upravuje způsob stanovování technických požadavků na výrobky, které by mohly ve zvýšené míře ohrozit zdraví nebo bezpečnost osob, majetek, nebo životní prostředí.</w:t>
      </w:r>
    </w:p>
    <w:p w:rsidR="00877BD1" w:rsidRPr="00D523D4" w:rsidRDefault="00877BD1" w:rsidP="00A230BF">
      <w:pPr>
        <w:shd w:val="clear" w:color="auto" w:fill="FFFFFF"/>
        <w:spacing w:after="0" w:line="240" w:lineRule="auto"/>
        <w:jc w:val="both"/>
        <w:rPr>
          <w:rFonts w:eastAsia="Times New Roman" w:cs="Times New Roman"/>
          <w:sz w:val="24"/>
          <w:szCs w:val="24"/>
          <w:lang w:eastAsia="cs-CZ"/>
        </w:rPr>
      </w:pPr>
      <w:r w:rsidRPr="00D523D4">
        <w:rPr>
          <w:rFonts w:eastAsia="Times New Roman" w:cs="Times New Roman"/>
          <w:sz w:val="21"/>
          <w:szCs w:val="21"/>
          <w:lang w:eastAsia="cs-CZ"/>
        </w:rPr>
        <w:t xml:space="preserve">Nařízení vlády </w:t>
      </w:r>
      <w:hyperlink r:id="rId7" w:history="1">
        <w:r w:rsidRPr="00D523D4">
          <w:rPr>
            <w:rFonts w:eastAsia="Times New Roman" w:cs="Times New Roman"/>
            <w:sz w:val="21"/>
            <w:szCs w:val="21"/>
            <w:lang w:eastAsia="cs-CZ"/>
          </w:rPr>
          <w:t>č. 173/1997 Sb</w:t>
        </w:r>
      </w:hyperlink>
      <w:r w:rsidRPr="00D523D4">
        <w:rPr>
          <w:rFonts w:eastAsia="Times New Roman" w:cs="Times New Roman"/>
          <w:sz w:val="21"/>
          <w:szCs w:val="21"/>
          <w:lang w:eastAsia="cs-CZ"/>
        </w:rPr>
        <w:t>., kterým se stanoví vybrané výrobky k posuzování shody, uvádí v příloze č. 2, že mezi stanovené výrobky řadíme „zařízení dětských hřišť“, ve smyslu této terminologie se rozumí jednotlivé herní (popř. sportovní) prvky:</w:t>
      </w:r>
    </w:p>
    <w:p w:rsidR="00877BD1" w:rsidRPr="00A230BF" w:rsidRDefault="00877BD1" w:rsidP="00A230BF">
      <w:pPr>
        <w:numPr>
          <w:ilvl w:val="0"/>
          <w:numId w:val="1"/>
        </w:numPr>
        <w:shd w:val="clear" w:color="auto" w:fill="FFFFFF"/>
        <w:spacing w:before="100" w:beforeAutospacing="1" w:after="100" w:afterAutospacing="1" w:line="240" w:lineRule="auto"/>
        <w:ind w:left="345"/>
        <w:rPr>
          <w:rFonts w:eastAsia="Times New Roman" w:cs="Times New Roman"/>
          <w:sz w:val="24"/>
          <w:szCs w:val="24"/>
          <w:lang w:eastAsia="cs-CZ"/>
        </w:rPr>
      </w:pPr>
      <w:r w:rsidRPr="00D523D4">
        <w:rPr>
          <w:rFonts w:eastAsia="Times New Roman" w:cs="Times New Roman"/>
          <w:sz w:val="21"/>
          <w:szCs w:val="21"/>
          <w:lang w:eastAsia="cs-CZ"/>
        </w:rPr>
        <w:t>kolotoče,</w:t>
      </w:r>
      <w:r w:rsidR="00A230BF">
        <w:rPr>
          <w:rFonts w:eastAsia="Times New Roman" w:cs="Times New Roman"/>
          <w:sz w:val="24"/>
          <w:szCs w:val="24"/>
          <w:lang w:eastAsia="cs-CZ"/>
        </w:rPr>
        <w:t xml:space="preserve"> </w:t>
      </w:r>
      <w:r w:rsidRPr="00A230BF">
        <w:rPr>
          <w:rFonts w:eastAsia="Times New Roman" w:cs="Times New Roman"/>
          <w:sz w:val="21"/>
          <w:szCs w:val="21"/>
          <w:lang w:eastAsia="cs-CZ"/>
        </w:rPr>
        <w:t>skluzavky,</w:t>
      </w:r>
      <w:r w:rsidR="00A230BF">
        <w:rPr>
          <w:rFonts w:eastAsia="Times New Roman" w:cs="Times New Roman"/>
          <w:sz w:val="24"/>
          <w:szCs w:val="24"/>
          <w:lang w:eastAsia="cs-CZ"/>
        </w:rPr>
        <w:t xml:space="preserve"> </w:t>
      </w:r>
      <w:r w:rsidRPr="00A230BF">
        <w:rPr>
          <w:rFonts w:eastAsia="Times New Roman" w:cs="Times New Roman"/>
          <w:sz w:val="21"/>
          <w:szCs w:val="21"/>
          <w:lang w:eastAsia="cs-CZ"/>
        </w:rPr>
        <w:t>houpačky,</w:t>
      </w:r>
      <w:r w:rsidR="00A230BF">
        <w:rPr>
          <w:rFonts w:eastAsia="Times New Roman" w:cs="Times New Roman"/>
          <w:sz w:val="24"/>
          <w:szCs w:val="24"/>
          <w:lang w:eastAsia="cs-CZ"/>
        </w:rPr>
        <w:t xml:space="preserve"> </w:t>
      </w:r>
      <w:r w:rsidRPr="00A230BF">
        <w:rPr>
          <w:rFonts w:eastAsia="Times New Roman" w:cs="Times New Roman"/>
          <w:sz w:val="21"/>
          <w:szCs w:val="21"/>
          <w:lang w:eastAsia="cs-CZ"/>
        </w:rPr>
        <w:t>šplhací lana,</w:t>
      </w:r>
      <w:r w:rsidR="00A230BF">
        <w:rPr>
          <w:rFonts w:eastAsia="Times New Roman" w:cs="Times New Roman"/>
          <w:sz w:val="24"/>
          <w:szCs w:val="24"/>
          <w:lang w:eastAsia="cs-CZ"/>
        </w:rPr>
        <w:t xml:space="preserve"> </w:t>
      </w:r>
      <w:r w:rsidRPr="00A230BF">
        <w:rPr>
          <w:rFonts w:eastAsia="Times New Roman" w:cs="Times New Roman"/>
          <w:sz w:val="21"/>
          <w:szCs w:val="21"/>
          <w:lang w:eastAsia="cs-CZ"/>
        </w:rPr>
        <w:t>prolézačky,</w:t>
      </w:r>
      <w:r w:rsidR="00A230BF">
        <w:rPr>
          <w:rFonts w:eastAsia="Times New Roman" w:cs="Times New Roman"/>
          <w:sz w:val="24"/>
          <w:szCs w:val="24"/>
          <w:lang w:eastAsia="cs-CZ"/>
        </w:rPr>
        <w:t xml:space="preserve"> </w:t>
      </w:r>
      <w:r w:rsidRPr="00A230BF">
        <w:rPr>
          <w:rFonts w:eastAsia="Times New Roman" w:cs="Times New Roman"/>
          <w:sz w:val="21"/>
          <w:szCs w:val="21"/>
          <w:lang w:eastAsia="cs-CZ"/>
        </w:rPr>
        <w:t>drobné stavby určené ke hraní a zvyšování obratnosti dětí,</w:t>
      </w:r>
      <w:r w:rsidR="00A230BF">
        <w:rPr>
          <w:rFonts w:eastAsia="Times New Roman" w:cs="Times New Roman"/>
          <w:sz w:val="24"/>
          <w:szCs w:val="24"/>
          <w:lang w:eastAsia="cs-CZ"/>
        </w:rPr>
        <w:t xml:space="preserve"> </w:t>
      </w:r>
      <w:r w:rsidRPr="00A230BF">
        <w:rPr>
          <w:rFonts w:eastAsia="Times New Roman" w:cs="Times New Roman"/>
          <w:sz w:val="21"/>
          <w:szCs w:val="21"/>
          <w:lang w:eastAsia="cs-CZ"/>
        </w:rPr>
        <w:t>lanovky,</w:t>
      </w:r>
      <w:r w:rsidR="00A230BF">
        <w:rPr>
          <w:rFonts w:eastAsia="Times New Roman" w:cs="Times New Roman"/>
          <w:sz w:val="24"/>
          <w:szCs w:val="24"/>
          <w:lang w:eastAsia="cs-CZ"/>
        </w:rPr>
        <w:t xml:space="preserve"> </w:t>
      </w:r>
      <w:r w:rsidRPr="00A230BF">
        <w:rPr>
          <w:rFonts w:eastAsia="Times New Roman" w:cs="Times New Roman"/>
          <w:sz w:val="21"/>
          <w:szCs w:val="21"/>
          <w:lang w:eastAsia="cs-CZ"/>
        </w:rPr>
        <w:t>prostorové sítě,</w:t>
      </w:r>
      <w:r w:rsidR="00A230BF">
        <w:rPr>
          <w:rFonts w:eastAsia="Times New Roman" w:cs="Times New Roman"/>
          <w:sz w:val="24"/>
          <w:szCs w:val="24"/>
          <w:lang w:eastAsia="cs-CZ"/>
        </w:rPr>
        <w:t xml:space="preserve"> </w:t>
      </w:r>
      <w:r w:rsidRPr="00A230BF">
        <w:rPr>
          <w:rFonts w:eastAsia="Times New Roman" w:cs="Times New Roman"/>
          <w:sz w:val="21"/>
          <w:szCs w:val="21"/>
          <w:lang w:eastAsia="cs-CZ"/>
        </w:rPr>
        <w:t>kolébačky aj.</w:t>
      </w:r>
    </w:p>
    <w:p w:rsidR="00877BD1" w:rsidRPr="00D523D4" w:rsidRDefault="00877BD1" w:rsidP="00AD3314">
      <w:pPr>
        <w:shd w:val="clear" w:color="auto" w:fill="FFFFFF"/>
        <w:spacing w:before="100" w:beforeAutospacing="1" w:after="100" w:afterAutospacing="1" w:line="240" w:lineRule="auto"/>
        <w:jc w:val="both"/>
        <w:rPr>
          <w:rFonts w:eastAsia="Times New Roman" w:cs="Times New Roman"/>
          <w:sz w:val="24"/>
          <w:szCs w:val="24"/>
          <w:lang w:eastAsia="cs-CZ"/>
        </w:rPr>
      </w:pPr>
      <w:r w:rsidRPr="00D523D4">
        <w:rPr>
          <w:rFonts w:eastAsia="Times New Roman" w:cs="Times New Roman"/>
          <w:sz w:val="21"/>
          <w:szCs w:val="21"/>
          <w:lang w:eastAsia="cs-CZ"/>
        </w:rPr>
        <w:t xml:space="preserve">Zákon </w:t>
      </w:r>
      <w:hyperlink r:id="rId8" w:history="1">
        <w:r w:rsidRPr="00D523D4">
          <w:rPr>
            <w:rFonts w:eastAsia="Times New Roman" w:cs="Times New Roman"/>
            <w:sz w:val="21"/>
            <w:szCs w:val="21"/>
            <w:lang w:eastAsia="cs-CZ"/>
          </w:rPr>
          <w:t>č. 258/2000 Sb.</w:t>
        </w:r>
      </w:hyperlink>
      <w:r w:rsidRPr="00D523D4">
        <w:rPr>
          <w:rFonts w:eastAsia="Times New Roman" w:cs="Times New Roman"/>
          <w:sz w:val="21"/>
          <w:szCs w:val="21"/>
          <w:lang w:eastAsia="cs-CZ"/>
        </w:rPr>
        <w:t xml:space="preserve">, o ochraně veřejného zdraví, stanovuje v §7 hygienické požadavky na prostory a provoz škol, předškolních, školních zařízení, zařízení sociálně výchovné činnosti a zařízení pro děti vyžadující okamžitou pomoc. V §13 nařizuje provozovatelům zajistit, aby písek užívaný ke hrám dětí v pískovištích nebyl mikrobiálně, chemicky a parazitárně znečištěn nad hygienické limity upravené vyhláškou </w:t>
      </w:r>
      <w:hyperlink r:id="rId9" w:history="1">
        <w:r w:rsidRPr="00D523D4">
          <w:rPr>
            <w:rFonts w:eastAsia="Times New Roman" w:cs="Times New Roman"/>
            <w:sz w:val="21"/>
            <w:szCs w:val="21"/>
            <w:lang w:eastAsia="cs-CZ"/>
          </w:rPr>
          <w:t>č. 238/2011 Sb.</w:t>
        </w:r>
      </w:hyperlink>
      <w:r w:rsidRPr="00D523D4">
        <w:rPr>
          <w:rFonts w:eastAsia="Times New Roman" w:cs="Times New Roman"/>
          <w:sz w:val="21"/>
          <w:szCs w:val="21"/>
          <w:lang w:eastAsia="cs-CZ"/>
        </w:rPr>
        <w:t xml:space="preserve">, kterou se stanoví požadavky na koupaliště, sauny a hygienické limity písku v pískovištích venkovních hracích ploch. Podmínky provozu takové hrací plochy s pískovištěm, režim údržby a způsob zajištění stanovených hygienických limitů upraví provozovatel v </w:t>
      </w:r>
      <w:r w:rsidRPr="00D523D4">
        <w:rPr>
          <w:rFonts w:eastAsia="Times New Roman" w:cs="Times New Roman"/>
          <w:b/>
          <w:bCs/>
          <w:sz w:val="21"/>
          <w:szCs w:val="21"/>
          <w:lang w:eastAsia="cs-CZ"/>
        </w:rPr>
        <w:t>provozním řádu</w:t>
      </w:r>
      <w:r w:rsidRPr="00D523D4">
        <w:rPr>
          <w:rFonts w:eastAsia="Times New Roman" w:cs="Times New Roman"/>
          <w:sz w:val="21"/>
          <w:szCs w:val="21"/>
          <w:lang w:eastAsia="cs-CZ"/>
        </w:rPr>
        <w:t>.</w:t>
      </w:r>
    </w:p>
    <w:p w:rsidR="00877BD1" w:rsidRPr="00D523D4" w:rsidRDefault="00877BD1" w:rsidP="00AD3314">
      <w:pPr>
        <w:shd w:val="clear" w:color="auto" w:fill="FFFFFF"/>
        <w:spacing w:before="100" w:beforeAutospacing="1" w:after="100" w:afterAutospacing="1" w:line="240" w:lineRule="auto"/>
        <w:jc w:val="both"/>
        <w:rPr>
          <w:rFonts w:eastAsia="Times New Roman" w:cs="Times New Roman"/>
          <w:sz w:val="24"/>
          <w:szCs w:val="24"/>
          <w:lang w:eastAsia="cs-CZ"/>
        </w:rPr>
      </w:pPr>
      <w:r w:rsidRPr="00D523D4">
        <w:rPr>
          <w:rFonts w:eastAsia="Times New Roman" w:cs="Times New Roman"/>
          <w:sz w:val="21"/>
          <w:szCs w:val="21"/>
          <w:lang w:eastAsia="cs-CZ"/>
        </w:rPr>
        <w:t xml:space="preserve">Metodické doporučení Státního zdravotního ústavu </w:t>
      </w:r>
      <w:hyperlink r:id="rId10" w:history="1">
        <w:r w:rsidRPr="00D523D4">
          <w:rPr>
            <w:rFonts w:eastAsia="Times New Roman" w:cs="Times New Roman"/>
            <w:sz w:val="21"/>
            <w:szCs w:val="21"/>
            <w:lang w:eastAsia="cs-CZ"/>
          </w:rPr>
          <w:t>č.j. CHŽP 35–112/07–10</w:t>
        </w:r>
      </w:hyperlink>
      <w:r w:rsidRPr="00D523D4">
        <w:rPr>
          <w:rFonts w:eastAsia="Times New Roman" w:cs="Times New Roman"/>
          <w:sz w:val="21"/>
          <w:szCs w:val="21"/>
          <w:lang w:eastAsia="cs-CZ"/>
        </w:rPr>
        <w:t xml:space="preserve"> k zajištění ochrany zdraví a zvýšení bezpečnosti dětí a mládeže na dětských a sportovních hřištích i v tělocvičnách zahrnuje mj. vykonávání nezávislých </w:t>
      </w:r>
      <w:r w:rsidRPr="00D523D4">
        <w:rPr>
          <w:rFonts w:eastAsia="Times New Roman" w:cs="Times New Roman"/>
          <w:b/>
          <w:bCs/>
          <w:sz w:val="21"/>
          <w:szCs w:val="21"/>
          <w:lang w:eastAsia="cs-CZ"/>
        </w:rPr>
        <w:t xml:space="preserve">kontrol </w:t>
      </w:r>
      <w:r w:rsidRPr="00D523D4">
        <w:rPr>
          <w:rFonts w:eastAsia="Times New Roman" w:cs="Times New Roman"/>
          <w:sz w:val="21"/>
          <w:szCs w:val="21"/>
          <w:lang w:eastAsia="cs-CZ"/>
        </w:rPr>
        <w:t xml:space="preserve">a předkládá vzory </w:t>
      </w:r>
      <w:r w:rsidRPr="00D523D4">
        <w:rPr>
          <w:rFonts w:eastAsia="Times New Roman" w:cs="Times New Roman"/>
          <w:b/>
          <w:bCs/>
          <w:sz w:val="21"/>
          <w:szCs w:val="21"/>
          <w:lang w:eastAsia="cs-CZ"/>
        </w:rPr>
        <w:t>návštěvních</w:t>
      </w:r>
      <w:r w:rsidRPr="00D523D4">
        <w:rPr>
          <w:rFonts w:eastAsia="Times New Roman" w:cs="Times New Roman"/>
          <w:sz w:val="21"/>
          <w:szCs w:val="21"/>
          <w:lang w:eastAsia="cs-CZ"/>
        </w:rPr>
        <w:t xml:space="preserve"> a </w:t>
      </w:r>
      <w:r w:rsidRPr="00D523D4">
        <w:rPr>
          <w:rFonts w:eastAsia="Times New Roman" w:cs="Times New Roman"/>
          <w:b/>
          <w:bCs/>
          <w:sz w:val="21"/>
          <w:szCs w:val="21"/>
          <w:lang w:eastAsia="cs-CZ"/>
        </w:rPr>
        <w:t>provozních řádů</w:t>
      </w:r>
      <w:r w:rsidRPr="00D523D4">
        <w:rPr>
          <w:rFonts w:eastAsia="Times New Roman" w:cs="Times New Roman"/>
          <w:sz w:val="21"/>
          <w:szCs w:val="21"/>
          <w:lang w:eastAsia="cs-CZ"/>
        </w:rPr>
        <w:t xml:space="preserve"> k těmto zařízením. Je určena pro všechny </w:t>
      </w:r>
      <w:r w:rsidRPr="00D523D4">
        <w:rPr>
          <w:rFonts w:eastAsia="Times New Roman" w:cs="Times New Roman"/>
          <w:b/>
          <w:bCs/>
          <w:sz w:val="21"/>
          <w:szCs w:val="21"/>
          <w:lang w:eastAsia="cs-CZ"/>
        </w:rPr>
        <w:t xml:space="preserve">provozovatele </w:t>
      </w:r>
      <w:r w:rsidRPr="00D523D4">
        <w:rPr>
          <w:rFonts w:eastAsia="Times New Roman" w:cs="Times New Roman"/>
          <w:sz w:val="21"/>
          <w:szCs w:val="21"/>
          <w:lang w:eastAsia="cs-CZ"/>
        </w:rPr>
        <w:t>veřejných dětských hřišť a sportovišť.</w:t>
      </w:r>
    </w:p>
    <w:p w:rsidR="00AD3314" w:rsidRDefault="00877BD1" w:rsidP="00C24FD3">
      <w:pPr>
        <w:shd w:val="clear" w:color="auto" w:fill="FFFFFF"/>
        <w:spacing w:after="0" w:line="240" w:lineRule="auto"/>
        <w:jc w:val="both"/>
        <w:rPr>
          <w:rFonts w:eastAsia="Times New Roman" w:cs="Times New Roman"/>
          <w:sz w:val="24"/>
          <w:szCs w:val="24"/>
          <w:lang w:eastAsia="cs-CZ"/>
        </w:rPr>
      </w:pPr>
      <w:r w:rsidRPr="00D523D4">
        <w:rPr>
          <w:rFonts w:eastAsia="Times New Roman" w:cs="Times New Roman"/>
          <w:sz w:val="21"/>
          <w:szCs w:val="21"/>
          <w:lang w:eastAsia="cs-CZ"/>
        </w:rPr>
        <w:t xml:space="preserve">Metodická informace MŠMT </w:t>
      </w:r>
      <w:hyperlink r:id="rId11" w:history="1">
        <w:r w:rsidRPr="00D523D4">
          <w:rPr>
            <w:rFonts w:eastAsia="Times New Roman" w:cs="Times New Roman"/>
            <w:sz w:val="21"/>
            <w:szCs w:val="21"/>
            <w:lang w:eastAsia="cs-CZ"/>
          </w:rPr>
          <w:t>č.j. 24 199/2007–50</w:t>
        </w:r>
      </w:hyperlink>
      <w:r w:rsidRPr="00D523D4">
        <w:rPr>
          <w:rFonts w:eastAsia="Times New Roman" w:cs="Times New Roman"/>
          <w:sz w:val="21"/>
          <w:szCs w:val="21"/>
          <w:lang w:eastAsia="cs-CZ"/>
        </w:rPr>
        <w:t xml:space="preserve"> k zabezpečování </w:t>
      </w:r>
      <w:r w:rsidRPr="00D523D4">
        <w:rPr>
          <w:rFonts w:eastAsia="Times New Roman" w:cs="Times New Roman"/>
          <w:b/>
          <w:bCs/>
          <w:sz w:val="21"/>
          <w:szCs w:val="21"/>
          <w:lang w:eastAsia="cs-CZ"/>
        </w:rPr>
        <w:t xml:space="preserve">provozu </w:t>
      </w:r>
      <w:r w:rsidRPr="00D523D4">
        <w:rPr>
          <w:rFonts w:eastAsia="Times New Roman" w:cs="Times New Roman"/>
          <w:sz w:val="21"/>
          <w:szCs w:val="21"/>
          <w:lang w:eastAsia="cs-CZ"/>
        </w:rPr>
        <w:t xml:space="preserve">a </w:t>
      </w:r>
      <w:r w:rsidRPr="00D523D4">
        <w:rPr>
          <w:rFonts w:eastAsia="Times New Roman" w:cs="Times New Roman"/>
          <w:b/>
          <w:bCs/>
          <w:sz w:val="21"/>
          <w:szCs w:val="21"/>
          <w:lang w:eastAsia="cs-CZ"/>
        </w:rPr>
        <w:t>údržby</w:t>
      </w:r>
      <w:r w:rsidRPr="00D523D4">
        <w:rPr>
          <w:rFonts w:eastAsia="Times New Roman" w:cs="Times New Roman"/>
          <w:sz w:val="21"/>
          <w:szCs w:val="21"/>
          <w:lang w:eastAsia="cs-CZ"/>
        </w:rPr>
        <w:t xml:space="preserve"> ve sportovních zařízeních, na dětských hřištích a v tělocvičnách uvádí mj. požadavky na montáže, provoz a nezávislou </w:t>
      </w:r>
      <w:r w:rsidRPr="00D523D4">
        <w:rPr>
          <w:rFonts w:eastAsia="Times New Roman" w:cs="Times New Roman"/>
          <w:b/>
          <w:bCs/>
          <w:sz w:val="21"/>
          <w:szCs w:val="21"/>
          <w:lang w:eastAsia="cs-CZ"/>
        </w:rPr>
        <w:t>kontrolní činnost</w:t>
      </w:r>
      <w:r w:rsidRPr="00D523D4">
        <w:rPr>
          <w:rFonts w:eastAsia="Times New Roman" w:cs="Times New Roman"/>
          <w:sz w:val="21"/>
          <w:szCs w:val="21"/>
          <w:lang w:eastAsia="cs-CZ"/>
        </w:rPr>
        <w:t xml:space="preserve"> revizním technikem v oblasti tělocvičného nářadí a dětských hřišť, prováděných fyzickou osobou s příslušnou certifikací nezávislou na výrobci či provozovateli, která posuzuje celkovou úroveň bezpečnosti příslušného zařízení vycházejícího z provedené montáže, oprav a případně dodatečně vestavěných a vyměněných prvků a částí.</w:t>
      </w:r>
    </w:p>
    <w:p w:rsidR="00C24FD3" w:rsidRDefault="00C24FD3" w:rsidP="00C24FD3">
      <w:pPr>
        <w:shd w:val="clear" w:color="auto" w:fill="FFFFFF"/>
        <w:spacing w:after="0" w:line="240" w:lineRule="auto"/>
        <w:jc w:val="both"/>
        <w:rPr>
          <w:rFonts w:eastAsia="Times New Roman" w:cs="Times New Roman"/>
          <w:sz w:val="24"/>
          <w:szCs w:val="24"/>
          <w:lang w:eastAsia="cs-CZ"/>
        </w:rPr>
      </w:pPr>
    </w:p>
    <w:p w:rsidR="00C24FD3" w:rsidRDefault="00C24FD3" w:rsidP="00C24FD3">
      <w:pPr>
        <w:shd w:val="clear" w:color="auto" w:fill="FFFFFF"/>
        <w:spacing w:after="0" w:line="240" w:lineRule="auto"/>
        <w:jc w:val="both"/>
        <w:rPr>
          <w:rFonts w:eastAsia="Times New Roman" w:cs="Times New Roman"/>
          <w:sz w:val="24"/>
          <w:szCs w:val="24"/>
          <w:lang w:eastAsia="cs-CZ"/>
        </w:rPr>
      </w:pPr>
    </w:p>
    <w:p w:rsidR="00877BD1" w:rsidRPr="00AD3314" w:rsidRDefault="00877BD1" w:rsidP="00C24FD3">
      <w:pPr>
        <w:shd w:val="clear" w:color="auto" w:fill="FFFFFF"/>
        <w:spacing w:after="0" w:line="240" w:lineRule="auto"/>
        <w:rPr>
          <w:b/>
          <w:bCs/>
          <w:sz w:val="24"/>
          <w:szCs w:val="24"/>
          <w:u w:val="single"/>
        </w:rPr>
      </w:pPr>
      <w:r w:rsidRPr="00AD3314">
        <w:rPr>
          <w:b/>
          <w:bCs/>
          <w:sz w:val="24"/>
          <w:szCs w:val="24"/>
          <w:u w:val="single"/>
        </w:rPr>
        <w:t>Dětská hřiště</w:t>
      </w:r>
    </w:p>
    <w:p w:rsidR="00877BD1" w:rsidRPr="00D523D4" w:rsidRDefault="00877BD1" w:rsidP="00877BD1">
      <w:pPr>
        <w:shd w:val="clear" w:color="auto" w:fill="FFFFFF"/>
        <w:spacing w:before="100" w:beforeAutospacing="1" w:after="100" w:afterAutospacing="1" w:line="240" w:lineRule="auto"/>
        <w:rPr>
          <w:rFonts w:eastAsia="Times New Roman" w:cs="Times New Roman"/>
          <w:sz w:val="24"/>
          <w:szCs w:val="24"/>
          <w:lang w:eastAsia="cs-CZ"/>
        </w:rPr>
      </w:pPr>
      <w:r w:rsidRPr="00D523D4">
        <w:rPr>
          <w:rFonts w:eastAsia="Times New Roman" w:cs="Times New Roman"/>
          <w:sz w:val="21"/>
          <w:szCs w:val="21"/>
          <w:lang w:eastAsia="cs-CZ"/>
        </w:rPr>
        <w:t xml:space="preserve">Požadavky na bezpečnost určuje především soubor 11 částí normy </w:t>
      </w:r>
      <w:hyperlink r:id="rId12" w:history="1">
        <w:r w:rsidRPr="00D523D4">
          <w:rPr>
            <w:rFonts w:eastAsia="Times New Roman" w:cs="Times New Roman"/>
            <w:sz w:val="21"/>
            <w:szCs w:val="21"/>
            <w:lang w:eastAsia="cs-CZ"/>
          </w:rPr>
          <w:t>ČSN EN 1176</w:t>
        </w:r>
      </w:hyperlink>
      <w:r w:rsidRPr="00D523D4">
        <w:rPr>
          <w:rFonts w:eastAsia="Times New Roman" w:cs="Times New Roman"/>
          <w:sz w:val="21"/>
          <w:szCs w:val="21"/>
          <w:lang w:eastAsia="cs-CZ"/>
        </w:rPr>
        <w:t>, Zařízení a povrch dětského hřiště. Tato norma se vztahuje na:</w:t>
      </w:r>
    </w:p>
    <w:p w:rsidR="00877BD1" w:rsidRPr="00A230BF" w:rsidRDefault="00877BD1" w:rsidP="00A230BF">
      <w:pPr>
        <w:numPr>
          <w:ilvl w:val="0"/>
          <w:numId w:val="2"/>
        </w:numPr>
        <w:shd w:val="clear" w:color="auto" w:fill="FFFFFF"/>
        <w:spacing w:before="100" w:beforeAutospacing="1" w:after="100" w:afterAutospacing="1" w:line="240" w:lineRule="auto"/>
        <w:ind w:left="345"/>
        <w:rPr>
          <w:rFonts w:eastAsia="Times New Roman" w:cs="Times New Roman"/>
          <w:sz w:val="24"/>
          <w:szCs w:val="24"/>
          <w:lang w:eastAsia="cs-CZ"/>
        </w:rPr>
      </w:pPr>
      <w:r w:rsidRPr="00D523D4">
        <w:rPr>
          <w:rFonts w:eastAsia="Times New Roman" w:cs="Times New Roman"/>
          <w:sz w:val="21"/>
          <w:szCs w:val="21"/>
          <w:lang w:eastAsia="cs-CZ"/>
        </w:rPr>
        <w:t>veřejná dětská hřiště,</w:t>
      </w:r>
      <w:r w:rsidR="00A230BF">
        <w:rPr>
          <w:rFonts w:eastAsia="Times New Roman" w:cs="Times New Roman"/>
          <w:sz w:val="24"/>
          <w:szCs w:val="24"/>
          <w:lang w:eastAsia="cs-CZ"/>
        </w:rPr>
        <w:t xml:space="preserve"> </w:t>
      </w:r>
      <w:r w:rsidRPr="00A230BF">
        <w:rPr>
          <w:rFonts w:eastAsia="Times New Roman" w:cs="Times New Roman"/>
          <w:sz w:val="21"/>
          <w:szCs w:val="21"/>
          <w:lang w:eastAsia="cs-CZ"/>
        </w:rPr>
        <w:t>školy, školky a dětské domovy,</w:t>
      </w:r>
      <w:r w:rsidR="00A230BF">
        <w:rPr>
          <w:rFonts w:eastAsia="Times New Roman" w:cs="Times New Roman"/>
          <w:sz w:val="24"/>
          <w:szCs w:val="24"/>
          <w:lang w:eastAsia="cs-CZ"/>
        </w:rPr>
        <w:t xml:space="preserve"> </w:t>
      </w:r>
      <w:r w:rsidRPr="00A230BF">
        <w:rPr>
          <w:rFonts w:eastAsia="Times New Roman" w:cs="Times New Roman"/>
          <w:sz w:val="21"/>
          <w:szCs w:val="21"/>
          <w:lang w:eastAsia="cs-CZ"/>
        </w:rPr>
        <w:t>hřiště ve společenství vlastníků budov,</w:t>
      </w:r>
      <w:r w:rsidR="00A230BF">
        <w:rPr>
          <w:rFonts w:eastAsia="Times New Roman" w:cs="Times New Roman"/>
          <w:sz w:val="24"/>
          <w:szCs w:val="24"/>
          <w:lang w:eastAsia="cs-CZ"/>
        </w:rPr>
        <w:t xml:space="preserve"> </w:t>
      </w:r>
      <w:r w:rsidRPr="00A230BF">
        <w:rPr>
          <w:rFonts w:eastAsia="Times New Roman" w:cs="Times New Roman"/>
          <w:sz w:val="21"/>
          <w:szCs w:val="21"/>
          <w:lang w:eastAsia="cs-CZ"/>
        </w:rPr>
        <w:t>nákupní centra, hotely, restaurace,</w:t>
      </w:r>
      <w:r w:rsidR="00A230BF">
        <w:rPr>
          <w:rFonts w:eastAsia="Times New Roman" w:cs="Times New Roman"/>
          <w:sz w:val="24"/>
          <w:szCs w:val="24"/>
          <w:lang w:eastAsia="cs-CZ"/>
        </w:rPr>
        <w:t xml:space="preserve"> </w:t>
      </w:r>
      <w:r w:rsidRPr="00A230BF">
        <w:rPr>
          <w:rFonts w:eastAsia="Times New Roman" w:cs="Times New Roman"/>
          <w:sz w:val="21"/>
          <w:szCs w:val="21"/>
          <w:lang w:eastAsia="cs-CZ"/>
        </w:rPr>
        <w:t>nemocnice, čerpací stanice,</w:t>
      </w:r>
      <w:r w:rsidR="00A230BF">
        <w:rPr>
          <w:rFonts w:eastAsia="Times New Roman" w:cs="Times New Roman"/>
          <w:sz w:val="24"/>
          <w:szCs w:val="24"/>
          <w:lang w:eastAsia="cs-CZ"/>
        </w:rPr>
        <w:t xml:space="preserve"> </w:t>
      </w:r>
      <w:r w:rsidRPr="00A230BF">
        <w:rPr>
          <w:rFonts w:eastAsia="Times New Roman" w:cs="Times New Roman"/>
          <w:sz w:val="21"/>
          <w:szCs w:val="21"/>
          <w:lang w:eastAsia="cs-CZ"/>
        </w:rPr>
        <w:t>kempy, koupaliště, ZOO, zábavn</w:t>
      </w:r>
      <w:r w:rsidR="00D523D4" w:rsidRPr="00A230BF">
        <w:rPr>
          <w:rFonts w:eastAsia="Times New Roman" w:cs="Times New Roman"/>
          <w:sz w:val="21"/>
          <w:szCs w:val="21"/>
          <w:lang w:eastAsia="cs-CZ"/>
        </w:rPr>
        <w:t>á</w:t>
      </w:r>
      <w:r w:rsidRPr="00A230BF">
        <w:rPr>
          <w:rFonts w:eastAsia="Times New Roman" w:cs="Times New Roman"/>
          <w:sz w:val="21"/>
          <w:szCs w:val="21"/>
          <w:lang w:eastAsia="cs-CZ"/>
        </w:rPr>
        <w:t xml:space="preserve"> centra</w:t>
      </w:r>
      <w:r w:rsidR="00D523D4" w:rsidRPr="00A230BF">
        <w:rPr>
          <w:rFonts w:eastAsia="Times New Roman" w:cs="Times New Roman"/>
          <w:sz w:val="21"/>
          <w:szCs w:val="21"/>
          <w:lang w:eastAsia="cs-CZ"/>
        </w:rPr>
        <w:t xml:space="preserve"> </w:t>
      </w:r>
      <w:r w:rsidRPr="00A230BF">
        <w:rPr>
          <w:rFonts w:eastAsia="Times New Roman" w:cs="Times New Roman"/>
          <w:sz w:val="21"/>
          <w:szCs w:val="21"/>
          <w:lang w:eastAsia="cs-CZ"/>
        </w:rPr>
        <w:t>…</w:t>
      </w:r>
    </w:p>
    <w:p w:rsidR="00877BD1" w:rsidRPr="00D523D4" w:rsidRDefault="00877BD1" w:rsidP="001D17FA">
      <w:pPr>
        <w:shd w:val="clear" w:color="auto" w:fill="FFFFFF"/>
        <w:spacing w:before="100" w:beforeAutospacing="1" w:after="100" w:afterAutospacing="1" w:line="240" w:lineRule="auto"/>
        <w:rPr>
          <w:rFonts w:eastAsia="Times New Roman" w:cs="Segoe UI"/>
          <w:caps/>
          <w:sz w:val="24"/>
          <w:szCs w:val="24"/>
          <w:lang w:eastAsia="cs-CZ"/>
        </w:rPr>
      </w:pPr>
      <w:r w:rsidRPr="00D523D4">
        <w:rPr>
          <w:rFonts w:eastAsia="Times New Roman" w:cs="Times New Roman"/>
          <w:lang w:eastAsia="cs-CZ"/>
        </w:rPr>
        <w:t> </w:t>
      </w:r>
      <w:r w:rsidRPr="00D523D4">
        <w:rPr>
          <w:rFonts w:eastAsia="Times New Roman" w:cs="Segoe UI"/>
          <w:caps/>
          <w:sz w:val="24"/>
          <w:szCs w:val="24"/>
          <w:lang w:eastAsia="cs-CZ"/>
        </w:rPr>
        <w:t>Druhy kontrol dětských hřišť</w:t>
      </w:r>
    </w:p>
    <w:p w:rsidR="00877BD1" w:rsidRPr="00D523D4" w:rsidRDefault="00877BD1" w:rsidP="00877BD1">
      <w:pPr>
        <w:shd w:val="clear" w:color="auto" w:fill="FFFFFF"/>
        <w:spacing w:before="100" w:beforeAutospacing="1" w:after="100" w:afterAutospacing="1" w:line="240" w:lineRule="auto"/>
        <w:rPr>
          <w:rFonts w:eastAsia="Times New Roman" w:cs="Times New Roman"/>
          <w:sz w:val="24"/>
          <w:szCs w:val="24"/>
          <w:lang w:eastAsia="cs-CZ"/>
        </w:rPr>
      </w:pPr>
      <w:r w:rsidRPr="00D523D4">
        <w:rPr>
          <w:rFonts w:eastAsia="Times New Roman" w:cs="Times New Roman"/>
          <w:b/>
          <w:bCs/>
          <w:sz w:val="21"/>
          <w:szCs w:val="21"/>
          <w:lang w:eastAsia="cs-CZ"/>
        </w:rPr>
        <w:t>Vstupní kontrola</w:t>
      </w:r>
    </w:p>
    <w:p w:rsidR="00877BD1" w:rsidRPr="00D523D4" w:rsidRDefault="00877BD1" w:rsidP="00877BD1">
      <w:pPr>
        <w:shd w:val="clear" w:color="auto" w:fill="FFFFFF"/>
        <w:spacing w:before="100" w:beforeAutospacing="1" w:after="100" w:afterAutospacing="1" w:line="240" w:lineRule="auto"/>
        <w:rPr>
          <w:rFonts w:eastAsia="Times New Roman" w:cs="Times New Roman"/>
          <w:sz w:val="24"/>
          <w:szCs w:val="24"/>
          <w:lang w:eastAsia="cs-CZ"/>
        </w:rPr>
      </w:pPr>
      <w:r w:rsidRPr="00D523D4">
        <w:rPr>
          <w:rFonts w:eastAsia="Times New Roman" w:cs="Times New Roman"/>
          <w:sz w:val="21"/>
          <w:szCs w:val="21"/>
          <w:lang w:eastAsia="cs-CZ"/>
        </w:rPr>
        <w:t>U nově zhotovených dětských hřišť nezávislá odborně technická osoba kontroluje jednotlivé části podle předpisu ČSN EN 1176, kdy podstatou je vyloučení závad vzniklých při montáži.</w:t>
      </w:r>
    </w:p>
    <w:p w:rsidR="00A230BF" w:rsidRDefault="00A230BF" w:rsidP="00877BD1">
      <w:pPr>
        <w:shd w:val="clear" w:color="auto" w:fill="FFFFFF"/>
        <w:spacing w:before="100" w:beforeAutospacing="1" w:after="100" w:afterAutospacing="1" w:line="240" w:lineRule="auto"/>
        <w:rPr>
          <w:rFonts w:eastAsia="Times New Roman" w:cs="Times New Roman"/>
          <w:b/>
          <w:bCs/>
          <w:sz w:val="21"/>
          <w:szCs w:val="21"/>
          <w:lang w:eastAsia="cs-CZ"/>
        </w:rPr>
      </w:pPr>
    </w:p>
    <w:p w:rsidR="00877BD1" w:rsidRPr="00D523D4" w:rsidRDefault="00877BD1" w:rsidP="00877BD1">
      <w:pPr>
        <w:shd w:val="clear" w:color="auto" w:fill="FFFFFF"/>
        <w:spacing w:before="100" w:beforeAutospacing="1" w:after="100" w:afterAutospacing="1" w:line="240" w:lineRule="auto"/>
        <w:rPr>
          <w:rFonts w:eastAsia="Times New Roman" w:cs="Times New Roman"/>
          <w:sz w:val="24"/>
          <w:szCs w:val="24"/>
          <w:lang w:eastAsia="cs-CZ"/>
        </w:rPr>
      </w:pPr>
      <w:r w:rsidRPr="00D523D4">
        <w:rPr>
          <w:rFonts w:eastAsia="Times New Roman" w:cs="Times New Roman"/>
          <w:b/>
          <w:bCs/>
          <w:sz w:val="21"/>
          <w:szCs w:val="21"/>
          <w:lang w:eastAsia="cs-CZ"/>
        </w:rPr>
        <w:t>Běžná vizuální kontrola</w:t>
      </w:r>
    </w:p>
    <w:p w:rsidR="00877BD1" w:rsidRPr="00D523D4" w:rsidRDefault="00877BD1" w:rsidP="00A230BF">
      <w:pPr>
        <w:shd w:val="clear" w:color="auto" w:fill="FFFFFF"/>
        <w:spacing w:before="100" w:beforeAutospacing="1" w:after="100" w:afterAutospacing="1" w:line="240" w:lineRule="auto"/>
        <w:jc w:val="both"/>
        <w:rPr>
          <w:rFonts w:eastAsia="Times New Roman" w:cs="Times New Roman"/>
          <w:sz w:val="24"/>
          <w:szCs w:val="24"/>
          <w:lang w:eastAsia="cs-CZ"/>
        </w:rPr>
      </w:pPr>
      <w:r w:rsidRPr="00D523D4">
        <w:rPr>
          <w:rFonts w:eastAsia="Times New Roman" w:cs="Times New Roman"/>
          <w:sz w:val="21"/>
          <w:szCs w:val="21"/>
          <w:lang w:eastAsia="cs-CZ"/>
        </w:rPr>
        <w:lastRenderedPageBreak/>
        <w:t>Základem je vyloučení potencionálních zdrojů nebezpečí např. poškozené části zařízení, výskyt skleněných střepů, injekčních stříkaček apod. Tuto činnost je doporučeno vykonávat provozovatelem prověřeným pracovníkem každý den. Zápisy není nutno provádět, pouze při zjištění závady.</w:t>
      </w:r>
    </w:p>
    <w:p w:rsidR="00877BD1" w:rsidRPr="00D523D4" w:rsidRDefault="00877BD1" w:rsidP="00877BD1">
      <w:pPr>
        <w:shd w:val="clear" w:color="auto" w:fill="FFFFFF"/>
        <w:spacing w:before="100" w:beforeAutospacing="1" w:after="100" w:afterAutospacing="1" w:line="240" w:lineRule="auto"/>
        <w:rPr>
          <w:rFonts w:eastAsia="Times New Roman" w:cs="Times New Roman"/>
          <w:sz w:val="24"/>
          <w:szCs w:val="24"/>
          <w:lang w:eastAsia="cs-CZ"/>
        </w:rPr>
      </w:pPr>
      <w:r w:rsidRPr="00D523D4">
        <w:rPr>
          <w:rFonts w:eastAsia="Times New Roman" w:cs="Times New Roman"/>
          <w:b/>
          <w:bCs/>
          <w:sz w:val="21"/>
          <w:szCs w:val="21"/>
          <w:lang w:eastAsia="cs-CZ"/>
        </w:rPr>
        <w:t>Provozní kontrola</w:t>
      </w:r>
    </w:p>
    <w:p w:rsidR="00877BD1" w:rsidRPr="00D523D4" w:rsidRDefault="00877BD1" w:rsidP="00AD3314">
      <w:pPr>
        <w:shd w:val="clear" w:color="auto" w:fill="FFFFFF"/>
        <w:spacing w:before="100" w:beforeAutospacing="1" w:after="100" w:afterAutospacing="1" w:line="240" w:lineRule="auto"/>
        <w:jc w:val="both"/>
        <w:rPr>
          <w:rFonts w:eastAsia="Times New Roman" w:cs="Times New Roman"/>
          <w:sz w:val="24"/>
          <w:szCs w:val="24"/>
          <w:lang w:eastAsia="cs-CZ"/>
        </w:rPr>
      </w:pPr>
      <w:r w:rsidRPr="00D523D4">
        <w:rPr>
          <w:rFonts w:eastAsia="Times New Roman" w:cs="Times New Roman"/>
          <w:sz w:val="21"/>
          <w:szCs w:val="21"/>
          <w:lang w:eastAsia="cs-CZ"/>
        </w:rPr>
        <w:t xml:space="preserve">Podle návštěvnosti, charakteru hřiště nebo doporučení výrobce provozovatel určí lhůtu pravidelných kontrol v rozmezí </w:t>
      </w:r>
      <w:r w:rsidRPr="00D523D4">
        <w:rPr>
          <w:rFonts w:eastAsia="Times New Roman" w:cs="Times New Roman"/>
          <w:b/>
          <w:bCs/>
          <w:sz w:val="21"/>
          <w:szCs w:val="21"/>
          <w:lang w:eastAsia="cs-CZ"/>
        </w:rPr>
        <w:t>1 až 3 měsíců</w:t>
      </w:r>
      <w:r w:rsidRPr="00D523D4">
        <w:rPr>
          <w:rFonts w:eastAsia="Times New Roman" w:cs="Times New Roman"/>
          <w:sz w:val="21"/>
          <w:szCs w:val="21"/>
          <w:lang w:eastAsia="cs-CZ"/>
        </w:rPr>
        <w:t>, jejichž rozsah zpravidla definuje výrobce v provozní dokumentaci. Kontroly provádí provozovatelem proškolená osoba, pověřená odborná firma nebo přímo výrobce. Na závěr k odborně technické kontrole je vystaven samostatný protokol.</w:t>
      </w:r>
    </w:p>
    <w:p w:rsidR="00877BD1" w:rsidRPr="00D523D4" w:rsidRDefault="00877BD1" w:rsidP="00877BD1">
      <w:pPr>
        <w:shd w:val="clear" w:color="auto" w:fill="FFFFFF"/>
        <w:spacing w:before="100" w:beforeAutospacing="1" w:after="100" w:afterAutospacing="1" w:line="240" w:lineRule="auto"/>
        <w:rPr>
          <w:rFonts w:eastAsia="Times New Roman" w:cs="Times New Roman"/>
          <w:sz w:val="24"/>
          <w:szCs w:val="24"/>
          <w:lang w:eastAsia="cs-CZ"/>
        </w:rPr>
      </w:pPr>
      <w:r w:rsidRPr="00D523D4">
        <w:rPr>
          <w:rFonts w:eastAsia="Times New Roman" w:cs="Times New Roman"/>
          <w:b/>
          <w:bCs/>
          <w:sz w:val="21"/>
          <w:szCs w:val="21"/>
          <w:lang w:eastAsia="cs-CZ"/>
        </w:rPr>
        <w:t>Odborná technická kontrola</w:t>
      </w:r>
    </w:p>
    <w:p w:rsidR="00877BD1" w:rsidRPr="00D523D4" w:rsidRDefault="00877BD1" w:rsidP="00AD3314">
      <w:pPr>
        <w:shd w:val="clear" w:color="auto" w:fill="FFFFFF"/>
        <w:spacing w:before="100" w:beforeAutospacing="1" w:after="100" w:afterAutospacing="1" w:line="240" w:lineRule="auto"/>
        <w:jc w:val="both"/>
        <w:rPr>
          <w:rFonts w:eastAsia="Times New Roman" w:cs="Times New Roman"/>
          <w:sz w:val="24"/>
          <w:szCs w:val="24"/>
          <w:lang w:eastAsia="cs-CZ"/>
        </w:rPr>
      </w:pPr>
      <w:r w:rsidRPr="00D523D4">
        <w:rPr>
          <w:rFonts w:eastAsia="Times New Roman" w:cs="Times New Roman"/>
          <w:sz w:val="21"/>
          <w:szCs w:val="21"/>
          <w:lang w:eastAsia="cs-CZ"/>
        </w:rPr>
        <w:t xml:space="preserve">Vždy </w:t>
      </w:r>
      <w:r w:rsidRPr="00D523D4">
        <w:rPr>
          <w:rFonts w:eastAsia="Times New Roman" w:cs="Times New Roman"/>
          <w:b/>
          <w:bCs/>
          <w:sz w:val="21"/>
          <w:szCs w:val="21"/>
          <w:lang w:eastAsia="cs-CZ"/>
        </w:rPr>
        <w:t>1x za rok</w:t>
      </w:r>
      <w:r w:rsidRPr="00D523D4">
        <w:rPr>
          <w:rFonts w:eastAsia="Times New Roman" w:cs="Times New Roman"/>
          <w:sz w:val="21"/>
          <w:szCs w:val="21"/>
          <w:lang w:eastAsia="cs-CZ"/>
        </w:rPr>
        <w:t xml:space="preserve"> je provozovatel povinen zajistit provedení odborné kontroly oprávněnou certifikovanou osobu, která by neměla mít jakoukoliv vazbu na výrobce či provozovatele. Osoba především ověřuje zařízení ve shodě s předpisy, normami a dopad povětrnostních vlivů, známek rozpadu, koroze, provedených oprav nebo vyměněných či dodatečně vestavěných částí na celkový stav dětského hřiště z hlediska jeho bezpečnosti provozu. Na závěr oprávněná osoba, která provádí O provedené odborně technické kontrole</w:t>
      </w:r>
    </w:p>
    <w:p w:rsidR="00A41A37" w:rsidRPr="00D523D4" w:rsidRDefault="00A41A37" w:rsidP="00AD3314">
      <w:pPr>
        <w:jc w:val="both"/>
      </w:pPr>
    </w:p>
    <w:sectPr w:rsidR="00A41A37" w:rsidRPr="00D523D4" w:rsidSect="00BC4623">
      <w:pgSz w:w="11906" w:h="16838" w:code="9"/>
      <w:pgMar w:top="851" w:right="127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C53B82"/>
    <w:multiLevelType w:val="multilevel"/>
    <w:tmpl w:val="79286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4AB3E36"/>
    <w:multiLevelType w:val="multilevel"/>
    <w:tmpl w:val="C3924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6EC"/>
    <w:rsid w:val="000C2ED6"/>
    <w:rsid w:val="000F5DE9"/>
    <w:rsid w:val="001D17FA"/>
    <w:rsid w:val="00343494"/>
    <w:rsid w:val="003C76EC"/>
    <w:rsid w:val="0046436F"/>
    <w:rsid w:val="0053098F"/>
    <w:rsid w:val="00703515"/>
    <w:rsid w:val="00764445"/>
    <w:rsid w:val="00877BD1"/>
    <w:rsid w:val="008F3782"/>
    <w:rsid w:val="00901CDB"/>
    <w:rsid w:val="00A230BF"/>
    <w:rsid w:val="00A41A37"/>
    <w:rsid w:val="00AD3314"/>
    <w:rsid w:val="00AE45D0"/>
    <w:rsid w:val="00B626C8"/>
    <w:rsid w:val="00BC4623"/>
    <w:rsid w:val="00C24FD3"/>
    <w:rsid w:val="00CB296E"/>
    <w:rsid w:val="00CF155D"/>
    <w:rsid w:val="00D32821"/>
    <w:rsid w:val="00D523D4"/>
    <w:rsid w:val="00E032D5"/>
    <w:rsid w:val="00EA3946"/>
    <w:rsid w:val="00EC4053"/>
    <w:rsid w:val="00F20F7C"/>
    <w:rsid w:val="00F21C3C"/>
    <w:rsid w:val="00F26823"/>
    <w:rsid w:val="00F62F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9929067">
      <w:bodyDiv w:val="1"/>
      <w:marLeft w:val="0"/>
      <w:marRight w:val="0"/>
      <w:marTop w:val="0"/>
      <w:marBottom w:val="0"/>
      <w:divBdr>
        <w:top w:val="none" w:sz="0" w:space="0" w:color="auto"/>
        <w:left w:val="none" w:sz="0" w:space="0" w:color="auto"/>
        <w:bottom w:val="none" w:sz="0" w:space="0" w:color="auto"/>
        <w:right w:val="none" w:sz="0" w:space="0" w:color="auto"/>
      </w:divBdr>
      <w:divsChild>
        <w:div w:id="156772186">
          <w:marLeft w:val="0"/>
          <w:marRight w:val="0"/>
          <w:marTop w:val="0"/>
          <w:marBottom w:val="0"/>
          <w:divBdr>
            <w:top w:val="none" w:sz="0" w:space="0" w:color="auto"/>
            <w:left w:val="none" w:sz="0" w:space="0" w:color="auto"/>
            <w:bottom w:val="none" w:sz="0" w:space="0" w:color="auto"/>
            <w:right w:val="none" w:sz="0" w:space="0" w:color="auto"/>
          </w:divBdr>
          <w:divsChild>
            <w:div w:id="480541615">
              <w:marLeft w:val="0"/>
              <w:marRight w:val="0"/>
              <w:marTop w:val="0"/>
              <w:marBottom w:val="0"/>
              <w:divBdr>
                <w:top w:val="none" w:sz="0" w:space="0" w:color="auto"/>
                <w:left w:val="none" w:sz="0" w:space="0" w:color="auto"/>
                <w:bottom w:val="none" w:sz="0" w:space="0" w:color="auto"/>
                <w:right w:val="none" w:sz="0" w:space="0" w:color="auto"/>
              </w:divBdr>
              <w:divsChild>
                <w:div w:id="1976639591">
                  <w:marLeft w:val="0"/>
                  <w:marRight w:val="0"/>
                  <w:marTop w:val="0"/>
                  <w:marBottom w:val="0"/>
                  <w:divBdr>
                    <w:top w:val="none" w:sz="0" w:space="0" w:color="auto"/>
                    <w:left w:val="none" w:sz="0" w:space="0" w:color="auto"/>
                    <w:bottom w:val="none" w:sz="0" w:space="0" w:color="auto"/>
                    <w:right w:val="none" w:sz="0" w:space="0" w:color="auto"/>
                  </w:divBdr>
                  <w:divsChild>
                    <w:div w:id="694888931">
                      <w:marLeft w:val="-375"/>
                      <w:marRight w:val="0"/>
                      <w:marTop w:val="0"/>
                      <w:marBottom w:val="0"/>
                      <w:divBdr>
                        <w:top w:val="none" w:sz="0" w:space="0" w:color="auto"/>
                        <w:left w:val="none" w:sz="0" w:space="0" w:color="auto"/>
                        <w:bottom w:val="none" w:sz="0" w:space="0" w:color="auto"/>
                        <w:right w:val="none" w:sz="0" w:space="0" w:color="auto"/>
                      </w:divBdr>
                      <w:divsChild>
                        <w:div w:id="1968046518">
                          <w:marLeft w:val="0"/>
                          <w:marRight w:val="0"/>
                          <w:marTop w:val="0"/>
                          <w:marBottom w:val="0"/>
                          <w:divBdr>
                            <w:top w:val="none" w:sz="0" w:space="0" w:color="auto"/>
                            <w:left w:val="none" w:sz="0" w:space="0" w:color="auto"/>
                            <w:bottom w:val="none" w:sz="0" w:space="0" w:color="auto"/>
                            <w:right w:val="none" w:sz="0" w:space="0" w:color="auto"/>
                          </w:divBdr>
                          <w:divsChild>
                            <w:div w:id="1420519017">
                              <w:marLeft w:val="0"/>
                              <w:marRight w:val="0"/>
                              <w:marTop w:val="0"/>
                              <w:marBottom w:val="0"/>
                              <w:divBdr>
                                <w:top w:val="none" w:sz="0" w:space="0" w:color="auto"/>
                                <w:left w:val="none" w:sz="0" w:space="0" w:color="auto"/>
                                <w:bottom w:val="none" w:sz="0" w:space="0" w:color="auto"/>
                                <w:right w:val="none" w:sz="0" w:space="0" w:color="auto"/>
                              </w:divBdr>
                              <w:divsChild>
                                <w:div w:id="1386486488">
                                  <w:marLeft w:val="0"/>
                                  <w:marRight w:val="0"/>
                                  <w:marTop w:val="0"/>
                                  <w:marBottom w:val="0"/>
                                  <w:divBdr>
                                    <w:top w:val="none" w:sz="0" w:space="0" w:color="auto"/>
                                    <w:left w:val="none" w:sz="0" w:space="0" w:color="auto"/>
                                    <w:bottom w:val="none" w:sz="0" w:space="0" w:color="auto"/>
                                    <w:right w:val="none" w:sz="0" w:space="0" w:color="auto"/>
                                  </w:divBdr>
                                  <w:divsChild>
                                    <w:div w:id="2079744376">
                                      <w:marLeft w:val="0"/>
                                      <w:marRight w:val="0"/>
                                      <w:marTop w:val="0"/>
                                      <w:marBottom w:val="0"/>
                                      <w:divBdr>
                                        <w:top w:val="none" w:sz="0" w:space="0" w:color="auto"/>
                                        <w:left w:val="none" w:sz="0" w:space="0" w:color="auto"/>
                                        <w:bottom w:val="none" w:sz="0" w:space="0" w:color="auto"/>
                                        <w:right w:val="none" w:sz="0" w:space="0" w:color="auto"/>
                                      </w:divBdr>
                                      <w:divsChild>
                                        <w:div w:id="1648438899">
                                          <w:marLeft w:val="0"/>
                                          <w:marRight w:val="0"/>
                                          <w:marTop w:val="0"/>
                                          <w:marBottom w:val="0"/>
                                          <w:divBdr>
                                            <w:top w:val="none" w:sz="0" w:space="0" w:color="auto"/>
                                            <w:left w:val="none" w:sz="0" w:space="0" w:color="auto"/>
                                            <w:bottom w:val="none" w:sz="0" w:space="0" w:color="auto"/>
                                            <w:right w:val="none" w:sz="0" w:space="0" w:color="auto"/>
                                          </w:divBdr>
                                          <w:divsChild>
                                            <w:div w:id="634023689">
                                              <w:marLeft w:val="0"/>
                                              <w:marRight w:val="0"/>
                                              <w:marTop w:val="0"/>
                                              <w:marBottom w:val="0"/>
                                              <w:divBdr>
                                                <w:top w:val="none" w:sz="0" w:space="0" w:color="auto"/>
                                                <w:left w:val="none" w:sz="0" w:space="0" w:color="auto"/>
                                                <w:bottom w:val="none" w:sz="0" w:space="0" w:color="auto"/>
                                                <w:right w:val="none" w:sz="0" w:space="0" w:color="auto"/>
                                              </w:divBdr>
                                              <w:divsChild>
                                                <w:div w:id="1184050917">
                                                  <w:marLeft w:val="0"/>
                                                  <w:marRight w:val="0"/>
                                                  <w:marTop w:val="0"/>
                                                  <w:marBottom w:val="0"/>
                                                  <w:divBdr>
                                                    <w:top w:val="none" w:sz="0" w:space="0" w:color="auto"/>
                                                    <w:left w:val="none" w:sz="0" w:space="0" w:color="auto"/>
                                                    <w:bottom w:val="none" w:sz="0" w:space="0" w:color="auto"/>
                                                    <w:right w:val="none" w:sz="0" w:space="0" w:color="auto"/>
                                                  </w:divBdr>
                                                  <w:divsChild>
                                                    <w:div w:id="1354722136">
                                                      <w:marLeft w:val="0"/>
                                                      <w:marRight w:val="0"/>
                                                      <w:marTop w:val="0"/>
                                                      <w:marBottom w:val="0"/>
                                                      <w:divBdr>
                                                        <w:top w:val="none" w:sz="0" w:space="0" w:color="auto"/>
                                                        <w:left w:val="none" w:sz="0" w:space="0" w:color="auto"/>
                                                        <w:bottom w:val="none" w:sz="0" w:space="0" w:color="auto"/>
                                                        <w:right w:val="none" w:sz="0" w:space="0" w:color="auto"/>
                                                      </w:divBdr>
                                                      <w:divsChild>
                                                        <w:div w:id="73745645">
                                                          <w:marLeft w:val="0"/>
                                                          <w:marRight w:val="0"/>
                                                          <w:marTop w:val="0"/>
                                                          <w:marBottom w:val="0"/>
                                                          <w:divBdr>
                                                            <w:top w:val="none" w:sz="0" w:space="0" w:color="auto"/>
                                                            <w:left w:val="none" w:sz="0" w:space="0" w:color="auto"/>
                                                            <w:bottom w:val="none" w:sz="0" w:space="0" w:color="auto"/>
                                                            <w:right w:val="none" w:sz="0" w:space="0" w:color="auto"/>
                                                          </w:divBdr>
                                                          <w:divsChild>
                                                            <w:div w:id="1668901759">
                                                              <w:marLeft w:val="0"/>
                                                              <w:marRight w:val="0"/>
                                                              <w:marTop w:val="0"/>
                                                              <w:marBottom w:val="0"/>
                                                              <w:divBdr>
                                                                <w:top w:val="none" w:sz="0" w:space="0" w:color="auto"/>
                                                                <w:left w:val="none" w:sz="0" w:space="0" w:color="auto"/>
                                                                <w:bottom w:val="none" w:sz="0" w:space="0" w:color="auto"/>
                                                                <w:right w:val="none" w:sz="0" w:space="0" w:color="auto"/>
                                                              </w:divBdr>
                                                              <w:divsChild>
                                                                <w:div w:id="999187532">
                                                                  <w:marLeft w:val="0"/>
                                                                  <w:marRight w:val="0"/>
                                                                  <w:marTop w:val="0"/>
                                                                  <w:marBottom w:val="0"/>
                                                                  <w:divBdr>
                                                                    <w:top w:val="none" w:sz="0" w:space="0" w:color="auto"/>
                                                                    <w:left w:val="none" w:sz="0" w:space="0" w:color="auto"/>
                                                                    <w:bottom w:val="none" w:sz="0" w:space="0" w:color="auto"/>
                                                                    <w:right w:val="none" w:sz="0" w:space="0" w:color="auto"/>
                                                                  </w:divBdr>
                                                                  <w:divsChild>
                                                                    <w:div w:id="130639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24818890">
      <w:bodyDiv w:val="1"/>
      <w:marLeft w:val="0"/>
      <w:marRight w:val="0"/>
      <w:marTop w:val="0"/>
      <w:marBottom w:val="0"/>
      <w:divBdr>
        <w:top w:val="none" w:sz="0" w:space="0" w:color="auto"/>
        <w:left w:val="none" w:sz="0" w:space="0" w:color="auto"/>
        <w:bottom w:val="none" w:sz="0" w:space="0" w:color="auto"/>
        <w:right w:val="none" w:sz="0" w:space="0" w:color="auto"/>
      </w:divBdr>
    </w:div>
    <w:div w:id="1633443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vizekontroly.cz/ostatni-legislativa/item/258-2000-sb-zakon-o-ochrane-verejneho-zdravi"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revizekontroly.cz/ostatni-legislativa/item/173-1997-sb-zakon-kterym-se-stanovi-vybrane-vyrobky-k-posuzovani-shody" TargetMode="External"/><Relationship Id="rId12" Type="http://schemas.openxmlformats.org/officeDocument/2006/relationships/hyperlink" Target="http://www.revizekontroly.cz/ostatni-legislativa/item/zarizeni-a-povrch-detskeho-hriste-cast-7-pokyny-pro-zrizovani-kontrolu-udrzbu-a-provo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evizekontroly.cz/ostatni-legislativa/item/22-1997-sb-zakon-o-technickych-pozadavcich-na-vyrobky" TargetMode="External"/><Relationship Id="rId11" Type="http://schemas.openxmlformats.org/officeDocument/2006/relationships/hyperlink" Target="http://www.revizekontroly.cz/ostatni-legislativa/item/msmt-c-j-24-199-2007-50-metodicka-informace-k-zabezpecovani-provozu-a-udrzby-ve-sportovnich-zarizenich-na-detskych-hristich-a-v-telocvicnach" TargetMode="External"/><Relationship Id="rId5" Type="http://schemas.openxmlformats.org/officeDocument/2006/relationships/webSettings" Target="webSettings.xml"/><Relationship Id="rId10" Type="http://schemas.openxmlformats.org/officeDocument/2006/relationships/hyperlink" Target="http://www.revizekontroly.cz/ostatni-legislativa/item/chzp-35-112-07-10-metodicke-doporuceni-k-zajisteni-ochrany-zdravi-a-zvyseni-bezpecnosti-deti-a-mladeze-na-detskych-a-sportovnich-hristich-i-v-telocvicnach" TargetMode="External"/><Relationship Id="rId4" Type="http://schemas.openxmlformats.org/officeDocument/2006/relationships/settings" Target="settings.xml"/><Relationship Id="rId9" Type="http://schemas.openxmlformats.org/officeDocument/2006/relationships/hyperlink" Target="http://www.revizekontroly.cz/ostatni-legislativa/item/238-2011-sb-vyhlaska-o-stanoveni-hygienickych-pozadavku-na-koupaliste-sauny-a-hygienicke-limity-pisku-v-piskovistich-venkovnich-hracich-ploch"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782</Words>
  <Characters>4617</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Uživatel systému Windows</dc:creator>
  <cp:keywords/>
  <dc:description/>
  <cp:lastModifiedBy>Pavla Pitrmanová</cp:lastModifiedBy>
  <cp:revision>5</cp:revision>
  <cp:lastPrinted>2019-10-01T11:11:00Z</cp:lastPrinted>
  <dcterms:created xsi:type="dcterms:W3CDTF">2019-11-18T09:25:00Z</dcterms:created>
  <dcterms:modified xsi:type="dcterms:W3CDTF">2019-11-25T15:40:00Z</dcterms:modified>
</cp:coreProperties>
</file>